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20B" w:rsidRPr="00D26960" w:rsidRDefault="00C1720B" w:rsidP="00C1720B">
      <w:pPr>
        <w:rPr>
          <w:rFonts w:ascii="Arial" w:hAnsi="Arial" w:cs="Arial"/>
          <w:b/>
          <w:sz w:val="36"/>
          <w:szCs w:val="36"/>
        </w:rPr>
      </w:pPr>
      <w:bookmarkStart w:id="0" w:name="_GoBack"/>
      <w:r w:rsidRPr="00D26960">
        <w:rPr>
          <w:rFonts w:ascii="Arial" w:hAnsi="Arial" w:cs="Arial"/>
          <w:b/>
          <w:sz w:val="36"/>
          <w:szCs w:val="36"/>
        </w:rPr>
        <w:t>Environmental Scan Matrix</w:t>
      </w:r>
    </w:p>
    <w:p w:rsidR="00C1720B" w:rsidRPr="00D26960" w:rsidRDefault="00C1720B" w:rsidP="00C1720B">
      <w:pPr>
        <w:rPr>
          <w:rFonts w:ascii="Arial" w:hAnsi="Arial" w:cs="Arial"/>
        </w:rPr>
      </w:pPr>
      <w:r w:rsidRPr="00D26960">
        <w:rPr>
          <w:rFonts w:ascii="Arial" w:hAnsi="Arial" w:cs="Arial"/>
        </w:rPr>
        <w:t xml:space="preserve">Document all the work your unit does on your campus to help a student make purposeful choice.  Think broadly and comprehensively. </w:t>
      </w:r>
      <w:r w:rsidRPr="00D26960">
        <w:rPr>
          <w:rFonts w:ascii="Arial" w:hAnsi="Arial" w:cs="Arial"/>
        </w:rPr>
        <w:t xml:space="preserve">Determine if these activities </w:t>
      </w:r>
      <w:r w:rsidRPr="00D26960">
        <w:rPr>
          <w:rFonts w:ascii="Arial" w:hAnsi="Arial" w:cs="Arial"/>
          <w:b/>
        </w:rPr>
        <w:t>inform</w:t>
      </w:r>
      <w:r w:rsidRPr="00D26960">
        <w:rPr>
          <w:rFonts w:ascii="Arial" w:hAnsi="Arial" w:cs="Arial"/>
        </w:rPr>
        <w:t xml:space="preserve"> students of </w:t>
      </w:r>
      <w:r w:rsidRPr="00D26960">
        <w:rPr>
          <w:rFonts w:ascii="Arial" w:hAnsi="Arial" w:cs="Arial"/>
        </w:rPr>
        <w:t xml:space="preserve">academic or cocurricular </w:t>
      </w:r>
      <w:r w:rsidRPr="00D26960">
        <w:rPr>
          <w:rFonts w:ascii="Arial" w:hAnsi="Arial" w:cs="Arial"/>
        </w:rPr>
        <w:t xml:space="preserve">options or help students </w:t>
      </w:r>
      <w:r w:rsidRPr="00D26960">
        <w:rPr>
          <w:rFonts w:ascii="Arial" w:hAnsi="Arial" w:cs="Arial"/>
          <w:b/>
        </w:rPr>
        <w:t>discern</w:t>
      </w:r>
      <w:r w:rsidRPr="00D26960">
        <w:rPr>
          <w:rFonts w:ascii="Arial" w:hAnsi="Arial" w:cs="Arial"/>
        </w:rPr>
        <w:t xml:space="preserve"> </w:t>
      </w:r>
      <w:r w:rsidRPr="00D26960">
        <w:rPr>
          <w:rFonts w:ascii="Arial" w:hAnsi="Arial" w:cs="Arial"/>
        </w:rPr>
        <w:t xml:space="preserve">their fit </w:t>
      </w:r>
      <w:r w:rsidRPr="00D26960">
        <w:rPr>
          <w:rFonts w:ascii="Arial" w:hAnsi="Arial" w:cs="Arial"/>
        </w:rPr>
        <w:t xml:space="preserve">or </w:t>
      </w:r>
      <w:r w:rsidRPr="00D26960">
        <w:rPr>
          <w:rFonts w:ascii="Arial" w:hAnsi="Arial" w:cs="Arial"/>
          <w:b/>
        </w:rPr>
        <w:t>affirm</w:t>
      </w:r>
      <w:r w:rsidRPr="00D26960">
        <w:rPr>
          <w:rFonts w:ascii="Arial" w:hAnsi="Arial" w:cs="Arial"/>
        </w:rPr>
        <w:t xml:space="preserve"> their choices.</w:t>
      </w:r>
      <w:r w:rsidRPr="00D26960">
        <w:rPr>
          <w:rFonts w:ascii="Arial" w:hAnsi="Arial" w:cs="Arial"/>
        </w:rPr>
        <w:t xml:space="preserve"> </w:t>
      </w:r>
      <w:r w:rsidRPr="00D26960">
        <w:rPr>
          <w:rFonts w:ascii="Arial" w:hAnsi="Arial" w:cs="Arial"/>
        </w:rPr>
        <w:t xml:space="preserve">Indicate the transition stage </w:t>
      </w:r>
      <w:r w:rsidRPr="00D26960">
        <w:rPr>
          <w:rFonts w:ascii="Arial" w:hAnsi="Arial" w:cs="Arial"/>
        </w:rPr>
        <w:t xml:space="preserve">of the lifecycle of the student </w:t>
      </w:r>
      <w:r w:rsidRPr="00D26960">
        <w:rPr>
          <w:rFonts w:ascii="Arial" w:hAnsi="Arial" w:cs="Arial"/>
        </w:rPr>
        <w:t>these activities take place.</w:t>
      </w:r>
    </w:p>
    <w:p w:rsidR="00C1720B" w:rsidRPr="00D26960" w:rsidRDefault="00C1720B" w:rsidP="00C1720B">
      <w:pPr>
        <w:rPr>
          <w:rFonts w:ascii="Arial" w:hAnsi="Arial" w:cs="Arial"/>
        </w:rPr>
      </w:pPr>
      <w:r w:rsidRPr="00D26960">
        <w:rPr>
          <w:rFonts w:ascii="Arial" w:hAnsi="Arial" w:cs="Arial"/>
        </w:rPr>
        <w:t>Consider how information gathered from these activities influence later interactions with students.</w:t>
      </w:r>
    </w:p>
    <w:p w:rsidR="00C1720B" w:rsidRPr="00D26960" w:rsidRDefault="00C1720B" w:rsidP="00C1720B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4320"/>
        <w:gridCol w:w="4320"/>
        <w:gridCol w:w="4320"/>
        <w:gridCol w:w="4320"/>
      </w:tblGrid>
      <w:tr w:rsidR="00C1720B" w:rsidRPr="00D26960" w:rsidTr="00C1720B">
        <w:tc>
          <w:tcPr>
            <w:tcW w:w="1440" w:type="dxa"/>
          </w:tcPr>
          <w:p w:rsidR="00C1720B" w:rsidRPr="00D26960" w:rsidRDefault="00C1720B" w:rsidP="00C172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C1720B" w:rsidRPr="00D26960" w:rsidRDefault="00C1720B" w:rsidP="00D26960">
            <w:pPr>
              <w:jc w:val="center"/>
              <w:rPr>
                <w:rFonts w:ascii="Arial" w:eastAsia="Times New Roman" w:hAnsi="Arial" w:cs="Arial"/>
              </w:rPr>
            </w:pPr>
            <w:r w:rsidRPr="00D26960">
              <w:rPr>
                <w:rFonts w:ascii="Arial" w:hAnsi="Arial" w:cs="Arial"/>
                <w:b/>
              </w:rPr>
              <w:t>Planning</w:t>
            </w:r>
            <w:r w:rsidRPr="00D26960">
              <w:rPr>
                <w:rFonts w:ascii="Arial" w:hAnsi="Arial" w:cs="Arial"/>
              </w:rPr>
              <w:br/>
            </w:r>
            <w:r w:rsidRPr="00D26960">
              <w:rPr>
                <w:rFonts w:ascii="Arial" w:hAnsi="Arial" w:cs="Arial"/>
                <w:sz w:val="22"/>
                <w:szCs w:val="22"/>
              </w:rPr>
              <w:t>(</w:t>
            </w:r>
            <w:r w:rsidR="00D26960" w:rsidRPr="00D26960">
              <w:rPr>
                <w:rFonts w:ascii="Arial" w:hAnsi="Arial" w:cs="Arial"/>
                <w:color w:val="000000"/>
                <w:sz w:val="22"/>
                <w:szCs w:val="22"/>
              </w:rPr>
              <w:t xml:space="preserve">initial contact through orientation </w:t>
            </w:r>
            <w:r w:rsidR="00D26960" w:rsidRPr="00D26960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="00D26960" w:rsidRPr="00D26960">
              <w:rPr>
                <w:rFonts w:ascii="Arial" w:hAnsi="Arial" w:cs="Arial"/>
                <w:color w:val="000000"/>
                <w:sz w:val="22"/>
                <w:szCs w:val="22"/>
              </w:rPr>
              <w:t xml:space="preserve"> registration</w:t>
            </w:r>
            <w:r w:rsidRPr="00D2696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20" w:type="dxa"/>
          </w:tcPr>
          <w:p w:rsidR="00C1720B" w:rsidRPr="00D26960" w:rsidRDefault="00C1720B" w:rsidP="00D26960">
            <w:pPr>
              <w:jc w:val="center"/>
              <w:rPr>
                <w:rFonts w:ascii="Arial" w:hAnsi="Arial" w:cs="Arial"/>
                <w:b/>
              </w:rPr>
            </w:pPr>
            <w:r w:rsidRPr="00D26960">
              <w:rPr>
                <w:rFonts w:ascii="Arial" w:hAnsi="Arial" w:cs="Arial"/>
                <w:b/>
              </w:rPr>
              <w:t>Preparing</w:t>
            </w:r>
          </w:p>
          <w:p w:rsidR="00C1720B" w:rsidRPr="00D26960" w:rsidRDefault="00D26960" w:rsidP="00D26960">
            <w:pPr>
              <w:jc w:val="center"/>
              <w:rPr>
                <w:rFonts w:ascii="Arial" w:eastAsia="Times New Roman" w:hAnsi="Arial" w:cs="Arial"/>
              </w:rPr>
            </w:pPr>
            <w:r w:rsidRPr="00D26960">
              <w:rPr>
                <w:rFonts w:ascii="Arial" w:hAnsi="Arial" w:cs="Arial"/>
                <w:sz w:val="22"/>
                <w:szCs w:val="22"/>
              </w:rPr>
              <w:t>(</w:t>
            </w:r>
            <w:r w:rsidRPr="00D26960">
              <w:rPr>
                <w:rFonts w:ascii="Arial" w:hAnsi="Arial" w:cs="Arial"/>
                <w:color w:val="000000"/>
                <w:sz w:val="22"/>
                <w:szCs w:val="22"/>
              </w:rPr>
              <w:t xml:space="preserve">orientation </w:t>
            </w:r>
            <w:r w:rsidRPr="00D26960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Pr="00D26960">
              <w:rPr>
                <w:rFonts w:ascii="Arial" w:hAnsi="Arial" w:cs="Arial"/>
                <w:color w:val="000000"/>
                <w:sz w:val="22"/>
                <w:szCs w:val="22"/>
              </w:rPr>
              <w:t xml:space="preserve"> registration through week of welcome/move-in</w:t>
            </w:r>
            <w:r w:rsidR="00C1720B" w:rsidRPr="00D2696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20" w:type="dxa"/>
          </w:tcPr>
          <w:p w:rsidR="00C1720B" w:rsidRPr="00D26960" w:rsidRDefault="00C1720B" w:rsidP="00D26960">
            <w:pPr>
              <w:jc w:val="center"/>
              <w:rPr>
                <w:rFonts w:ascii="Arial" w:hAnsi="Arial" w:cs="Arial"/>
                <w:b/>
              </w:rPr>
            </w:pPr>
            <w:r w:rsidRPr="00D26960">
              <w:rPr>
                <w:rFonts w:ascii="Arial" w:hAnsi="Arial" w:cs="Arial"/>
                <w:b/>
              </w:rPr>
              <w:t>Momentum Year</w:t>
            </w:r>
          </w:p>
          <w:p w:rsidR="00C1720B" w:rsidRPr="00D26960" w:rsidRDefault="00C1720B" w:rsidP="00D26960">
            <w:pPr>
              <w:jc w:val="center"/>
              <w:rPr>
                <w:rFonts w:ascii="Arial" w:eastAsia="Times New Roman" w:hAnsi="Arial" w:cs="Arial"/>
              </w:rPr>
            </w:pPr>
            <w:r w:rsidRPr="00D26960">
              <w:rPr>
                <w:rFonts w:ascii="Arial" w:hAnsi="Arial" w:cs="Arial"/>
                <w:sz w:val="22"/>
                <w:szCs w:val="22"/>
              </w:rPr>
              <w:t>(</w:t>
            </w:r>
            <w:r w:rsidR="00D26960" w:rsidRPr="00D26960">
              <w:rPr>
                <w:rFonts w:ascii="Arial" w:hAnsi="Arial" w:cs="Arial"/>
                <w:color w:val="000000"/>
                <w:sz w:val="22"/>
                <w:szCs w:val="22"/>
              </w:rPr>
              <w:t xml:space="preserve">matriculation </w:t>
            </w:r>
            <w:r w:rsidR="00D26960" w:rsidRPr="00D26960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="00D26960" w:rsidRPr="00D26960">
              <w:rPr>
                <w:rFonts w:ascii="Arial" w:hAnsi="Arial" w:cs="Arial"/>
                <w:color w:val="000000"/>
                <w:sz w:val="22"/>
                <w:szCs w:val="22"/>
              </w:rPr>
              <w:t xml:space="preserve"> Year 1 through first summer</w:t>
            </w:r>
            <w:r w:rsidRPr="00D2696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20" w:type="dxa"/>
          </w:tcPr>
          <w:p w:rsidR="00C1720B" w:rsidRPr="00D26960" w:rsidRDefault="00C1720B" w:rsidP="00D26960">
            <w:pPr>
              <w:jc w:val="center"/>
              <w:rPr>
                <w:rFonts w:ascii="Arial" w:hAnsi="Arial" w:cs="Arial"/>
                <w:b/>
              </w:rPr>
            </w:pPr>
            <w:r w:rsidRPr="00D26960">
              <w:rPr>
                <w:rFonts w:ascii="Arial" w:hAnsi="Arial" w:cs="Arial"/>
                <w:b/>
              </w:rPr>
              <w:t>Full Momentum</w:t>
            </w:r>
          </w:p>
          <w:p w:rsidR="00C1720B" w:rsidRPr="00D26960" w:rsidRDefault="00C1720B" w:rsidP="00D26960">
            <w:pPr>
              <w:jc w:val="center"/>
              <w:rPr>
                <w:rFonts w:ascii="Arial" w:eastAsia="Times New Roman" w:hAnsi="Arial" w:cs="Arial"/>
              </w:rPr>
            </w:pPr>
            <w:r w:rsidRPr="00D26960">
              <w:rPr>
                <w:rFonts w:ascii="Arial" w:hAnsi="Arial" w:cs="Arial"/>
                <w:sz w:val="22"/>
                <w:szCs w:val="22"/>
              </w:rPr>
              <w:t>(</w:t>
            </w:r>
            <w:r w:rsidR="00D26960" w:rsidRPr="00D26960">
              <w:rPr>
                <w:rFonts w:ascii="Arial" w:hAnsi="Arial" w:cs="Arial"/>
                <w:color w:val="000000"/>
                <w:sz w:val="22"/>
                <w:szCs w:val="22"/>
              </w:rPr>
              <w:t xml:space="preserve">returning to college for year 2 through graduation </w:t>
            </w:r>
            <w:r w:rsidR="00D26960" w:rsidRPr="00D26960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="00D26960" w:rsidRPr="00D26960">
              <w:rPr>
                <w:rFonts w:ascii="Arial" w:hAnsi="Arial" w:cs="Arial"/>
                <w:color w:val="000000"/>
                <w:sz w:val="22"/>
                <w:szCs w:val="22"/>
              </w:rPr>
              <w:t xml:space="preserve"> beyond</w:t>
            </w:r>
            <w:r w:rsidRPr="00D2696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26960" w:rsidRPr="00D26960" w:rsidTr="00D26960">
        <w:trPr>
          <w:trHeight w:val="2520"/>
        </w:trPr>
        <w:tc>
          <w:tcPr>
            <w:tcW w:w="1440" w:type="dxa"/>
            <w:shd w:val="clear" w:color="auto" w:fill="E7E6E6" w:themeFill="background2"/>
            <w:vAlign w:val="center"/>
          </w:tcPr>
          <w:p w:rsidR="00C1720B" w:rsidRPr="00D26960" w:rsidRDefault="00C1720B" w:rsidP="00D269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26960">
              <w:rPr>
                <w:rFonts w:ascii="Arial" w:hAnsi="Arial" w:cs="Arial"/>
                <w:b/>
                <w:sz w:val="28"/>
                <w:szCs w:val="28"/>
              </w:rPr>
              <w:t>Inform</w:t>
            </w:r>
          </w:p>
        </w:tc>
        <w:tc>
          <w:tcPr>
            <w:tcW w:w="4320" w:type="dxa"/>
          </w:tcPr>
          <w:p w:rsidR="00C1720B" w:rsidRPr="00D26960" w:rsidRDefault="00C1720B" w:rsidP="00C1720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C1720B" w:rsidRPr="00D26960" w:rsidRDefault="00C1720B" w:rsidP="00C1720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C1720B" w:rsidRPr="00D26960" w:rsidRDefault="00C1720B" w:rsidP="00C1720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C1720B" w:rsidRPr="00D26960" w:rsidRDefault="00C1720B" w:rsidP="00C1720B">
            <w:pPr>
              <w:rPr>
                <w:rFonts w:ascii="Arial" w:hAnsi="Arial" w:cs="Arial"/>
              </w:rPr>
            </w:pPr>
          </w:p>
        </w:tc>
      </w:tr>
      <w:tr w:rsidR="00D26960" w:rsidRPr="00D26960" w:rsidTr="00D26960">
        <w:trPr>
          <w:trHeight w:val="2520"/>
        </w:trPr>
        <w:tc>
          <w:tcPr>
            <w:tcW w:w="1440" w:type="dxa"/>
            <w:shd w:val="clear" w:color="auto" w:fill="E7E6E6" w:themeFill="background2"/>
            <w:vAlign w:val="center"/>
          </w:tcPr>
          <w:p w:rsidR="00C1720B" w:rsidRPr="00D26960" w:rsidRDefault="00C1720B" w:rsidP="00D269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26960">
              <w:rPr>
                <w:rFonts w:ascii="Arial" w:hAnsi="Arial" w:cs="Arial"/>
                <w:b/>
                <w:sz w:val="28"/>
                <w:szCs w:val="28"/>
              </w:rPr>
              <w:t>Discern</w:t>
            </w:r>
          </w:p>
        </w:tc>
        <w:tc>
          <w:tcPr>
            <w:tcW w:w="4320" w:type="dxa"/>
          </w:tcPr>
          <w:p w:rsidR="00C1720B" w:rsidRPr="00D26960" w:rsidRDefault="00C1720B" w:rsidP="00C1720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C1720B" w:rsidRPr="00D26960" w:rsidRDefault="00C1720B" w:rsidP="00C1720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C1720B" w:rsidRPr="00D26960" w:rsidRDefault="00C1720B" w:rsidP="00C1720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C1720B" w:rsidRPr="00D26960" w:rsidRDefault="00C1720B" w:rsidP="00C1720B">
            <w:pPr>
              <w:rPr>
                <w:rFonts w:ascii="Arial" w:hAnsi="Arial" w:cs="Arial"/>
              </w:rPr>
            </w:pPr>
          </w:p>
        </w:tc>
      </w:tr>
      <w:tr w:rsidR="00D26960" w:rsidRPr="00D26960" w:rsidTr="00D26960">
        <w:trPr>
          <w:trHeight w:val="2520"/>
        </w:trPr>
        <w:tc>
          <w:tcPr>
            <w:tcW w:w="1440" w:type="dxa"/>
            <w:shd w:val="clear" w:color="auto" w:fill="E7E6E6" w:themeFill="background2"/>
            <w:vAlign w:val="center"/>
          </w:tcPr>
          <w:p w:rsidR="00C1720B" w:rsidRPr="00D26960" w:rsidRDefault="00C1720B" w:rsidP="00D269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26960">
              <w:rPr>
                <w:rFonts w:ascii="Arial" w:hAnsi="Arial" w:cs="Arial"/>
                <w:b/>
                <w:sz w:val="28"/>
                <w:szCs w:val="28"/>
              </w:rPr>
              <w:t>Affirm</w:t>
            </w:r>
          </w:p>
        </w:tc>
        <w:tc>
          <w:tcPr>
            <w:tcW w:w="4320" w:type="dxa"/>
          </w:tcPr>
          <w:p w:rsidR="00C1720B" w:rsidRPr="00D26960" w:rsidRDefault="00C1720B" w:rsidP="00C1720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C1720B" w:rsidRPr="00D26960" w:rsidRDefault="00C1720B" w:rsidP="00C1720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C1720B" w:rsidRPr="00D26960" w:rsidRDefault="00C1720B" w:rsidP="00C1720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C1720B" w:rsidRPr="00D26960" w:rsidRDefault="00C1720B" w:rsidP="00C1720B">
            <w:pPr>
              <w:rPr>
                <w:rFonts w:ascii="Arial" w:hAnsi="Arial" w:cs="Arial"/>
              </w:rPr>
            </w:pPr>
          </w:p>
        </w:tc>
      </w:tr>
      <w:bookmarkEnd w:id="0"/>
    </w:tbl>
    <w:p w:rsidR="00C1720B" w:rsidRPr="00D26960" w:rsidRDefault="00C1720B" w:rsidP="00C1720B">
      <w:pPr>
        <w:rPr>
          <w:rFonts w:ascii="Arial" w:hAnsi="Arial" w:cs="Arial"/>
        </w:rPr>
      </w:pPr>
    </w:p>
    <w:p w:rsidR="00C1720B" w:rsidRPr="00D26960" w:rsidRDefault="00C1720B">
      <w:pPr>
        <w:rPr>
          <w:rFonts w:ascii="Arial" w:hAnsi="Arial" w:cs="Arial"/>
        </w:rPr>
      </w:pPr>
      <w:r w:rsidRPr="00D26960">
        <w:rPr>
          <w:rFonts w:ascii="Arial" w:hAnsi="Arial" w:cs="Arial"/>
        </w:rPr>
        <w:br w:type="page"/>
      </w:r>
    </w:p>
    <w:p w:rsidR="00C1720B" w:rsidRPr="00D26960" w:rsidRDefault="00C1720B" w:rsidP="00C1720B">
      <w:pPr>
        <w:rPr>
          <w:rFonts w:ascii="Arial" w:hAnsi="Arial" w:cs="Arial"/>
          <w:b/>
          <w:sz w:val="36"/>
          <w:szCs w:val="36"/>
        </w:rPr>
      </w:pPr>
      <w:r w:rsidRPr="00D26960">
        <w:rPr>
          <w:rFonts w:ascii="Arial" w:hAnsi="Arial" w:cs="Arial"/>
          <w:b/>
          <w:sz w:val="36"/>
          <w:szCs w:val="36"/>
        </w:rPr>
        <w:lastRenderedPageBreak/>
        <w:t>Gap Analysis</w:t>
      </w:r>
    </w:p>
    <w:p w:rsidR="00C1720B" w:rsidRPr="00D26960" w:rsidRDefault="00C1720B" w:rsidP="00C1720B">
      <w:pPr>
        <w:rPr>
          <w:rFonts w:ascii="Arial" w:hAnsi="Arial" w:cs="Arial"/>
        </w:rPr>
      </w:pPr>
      <w:r w:rsidRPr="00D26960">
        <w:rPr>
          <w:rFonts w:ascii="Arial" w:hAnsi="Arial" w:cs="Arial"/>
        </w:rPr>
        <w:t>I</w:t>
      </w:r>
      <w:r w:rsidRPr="00D26960">
        <w:rPr>
          <w:rFonts w:ascii="Arial" w:hAnsi="Arial" w:cs="Arial"/>
        </w:rPr>
        <w:t>ndividually identify the areas at your institutional matrix where you think there are opportunities to support students in the inform-discern-affirm process of purposeful choice during all transition stages.</w:t>
      </w:r>
      <w:r w:rsidR="00D40B55" w:rsidRPr="00D26960">
        <w:rPr>
          <w:rFonts w:ascii="Arial" w:hAnsi="Arial" w:cs="Arial"/>
        </w:rPr>
        <w:t xml:space="preserve"> </w:t>
      </w:r>
      <w:r w:rsidRPr="00D26960">
        <w:rPr>
          <w:rFonts w:ascii="Arial" w:hAnsi="Arial" w:cs="Arial"/>
        </w:rPr>
        <w:t>Are there strategies other campuses are using that your institution could try?</w:t>
      </w:r>
      <w:r w:rsidR="00D40B55" w:rsidRPr="00D26960">
        <w:rPr>
          <w:rFonts w:ascii="Arial" w:hAnsi="Arial" w:cs="Arial"/>
        </w:rPr>
        <w:t xml:space="preserve"> </w:t>
      </w:r>
      <w:r w:rsidRPr="00D26960">
        <w:rPr>
          <w:rFonts w:ascii="Arial" w:hAnsi="Arial" w:cs="Arial"/>
        </w:rPr>
        <w:t>Why is this area an important place to focus institutional effort?</w:t>
      </w:r>
      <w:r w:rsidR="00D40B55" w:rsidRPr="00D26960">
        <w:rPr>
          <w:rFonts w:ascii="Arial" w:hAnsi="Arial" w:cs="Arial"/>
        </w:rPr>
        <w:t xml:space="preserve"> </w:t>
      </w:r>
      <w:r w:rsidRPr="00D26960">
        <w:rPr>
          <w:rFonts w:ascii="Arial" w:hAnsi="Arial" w:cs="Arial"/>
        </w:rPr>
        <w:t>How will strengthening purposeful choice in this way affect a student’s overall transition?</w:t>
      </w:r>
    </w:p>
    <w:p w:rsidR="00D40B55" w:rsidRPr="00D26960" w:rsidRDefault="00D40B55" w:rsidP="00C1720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2"/>
        <w:gridCol w:w="3653"/>
        <w:gridCol w:w="3870"/>
        <w:gridCol w:w="4405"/>
      </w:tblGrid>
      <w:tr w:rsidR="00D26960" w:rsidRPr="00D26960" w:rsidTr="00D26960">
        <w:tc>
          <w:tcPr>
            <w:tcW w:w="6782" w:type="dxa"/>
          </w:tcPr>
          <w:p w:rsidR="00D26960" w:rsidRPr="00D26960" w:rsidRDefault="00D26960" w:rsidP="0050521B">
            <w:pPr>
              <w:rPr>
                <w:rFonts w:ascii="Arial" w:hAnsi="Arial" w:cs="Arial"/>
                <w:b/>
              </w:rPr>
            </w:pPr>
            <w:r w:rsidRPr="00D26960">
              <w:rPr>
                <w:rFonts w:ascii="Arial" w:hAnsi="Arial" w:cs="Arial"/>
                <w:b/>
              </w:rPr>
              <w:t>Opportunity/Activity/Strategy</w:t>
            </w:r>
          </w:p>
        </w:tc>
        <w:tc>
          <w:tcPr>
            <w:tcW w:w="3653" w:type="dxa"/>
          </w:tcPr>
          <w:p w:rsidR="00D26960" w:rsidRPr="00D26960" w:rsidRDefault="00D26960" w:rsidP="0050521B">
            <w:pPr>
              <w:rPr>
                <w:rFonts w:ascii="Arial" w:hAnsi="Arial" w:cs="Arial"/>
                <w:b/>
              </w:rPr>
            </w:pPr>
            <w:r w:rsidRPr="00D26960">
              <w:rPr>
                <w:rFonts w:ascii="Arial" w:hAnsi="Arial" w:cs="Arial"/>
                <w:b/>
              </w:rPr>
              <w:t>Phase of the student lifecycle</w:t>
            </w:r>
          </w:p>
        </w:tc>
        <w:tc>
          <w:tcPr>
            <w:tcW w:w="3870" w:type="dxa"/>
          </w:tcPr>
          <w:p w:rsidR="00D26960" w:rsidRPr="00D26960" w:rsidRDefault="00D26960" w:rsidP="0050521B">
            <w:pPr>
              <w:rPr>
                <w:rFonts w:ascii="Arial" w:hAnsi="Arial" w:cs="Arial"/>
                <w:b/>
              </w:rPr>
            </w:pPr>
            <w:r w:rsidRPr="00D26960">
              <w:rPr>
                <w:rFonts w:ascii="Arial" w:hAnsi="Arial" w:cs="Arial"/>
                <w:b/>
              </w:rPr>
              <w:t>Element of Purposeful Choice</w:t>
            </w:r>
          </w:p>
        </w:tc>
        <w:tc>
          <w:tcPr>
            <w:tcW w:w="4405" w:type="dxa"/>
          </w:tcPr>
          <w:p w:rsidR="00D26960" w:rsidRPr="00D26960" w:rsidRDefault="00D26960" w:rsidP="005052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  <w:tr w:rsidR="00D26960" w:rsidRPr="00D26960" w:rsidTr="00D26960">
        <w:trPr>
          <w:trHeight w:val="2088"/>
        </w:trPr>
        <w:tc>
          <w:tcPr>
            <w:tcW w:w="6782" w:type="dxa"/>
          </w:tcPr>
          <w:p w:rsidR="00D26960" w:rsidRPr="00D26960" w:rsidRDefault="00D26960" w:rsidP="0050521B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vAlign w:val="center"/>
          </w:tcPr>
          <w:p w:rsidR="00D26960" w:rsidRPr="00D26960" w:rsidRDefault="00D26960" w:rsidP="00D269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6960">
              <w:rPr>
                <w:rFonts w:ascii="Arial" w:hAnsi="Arial" w:cs="Arial"/>
              </w:rPr>
              <w:t>Planning</w:t>
            </w:r>
          </w:p>
          <w:p w:rsidR="00D26960" w:rsidRPr="00D26960" w:rsidRDefault="00D26960" w:rsidP="00D269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6960">
              <w:rPr>
                <w:rFonts w:ascii="Arial" w:hAnsi="Arial" w:cs="Arial"/>
              </w:rPr>
              <w:t>Preparing</w:t>
            </w:r>
          </w:p>
          <w:p w:rsidR="00D26960" w:rsidRPr="00D26960" w:rsidRDefault="00D26960" w:rsidP="00D269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6960">
              <w:rPr>
                <w:rFonts w:ascii="Arial" w:hAnsi="Arial" w:cs="Arial"/>
              </w:rPr>
              <w:t>Momentum Year</w:t>
            </w:r>
          </w:p>
          <w:p w:rsidR="00D26960" w:rsidRPr="00D26960" w:rsidRDefault="00D26960" w:rsidP="00D269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6960">
              <w:rPr>
                <w:rFonts w:ascii="Arial" w:hAnsi="Arial" w:cs="Arial"/>
              </w:rPr>
              <w:t>Full Momentum</w:t>
            </w:r>
          </w:p>
        </w:tc>
        <w:tc>
          <w:tcPr>
            <w:tcW w:w="3870" w:type="dxa"/>
            <w:vAlign w:val="center"/>
          </w:tcPr>
          <w:p w:rsidR="00D26960" w:rsidRPr="00D26960" w:rsidRDefault="00D26960" w:rsidP="00D269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6960">
              <w:rPr>
                <w:rFonts w:ascii="Arial" w:hAnsi="Arial" w:cs="Arial"/>
              </w:rPr>
              <w:t>Inform</w:t>
            </w:r>
          </w:p>
          <w:p w:rsidR="00D26960" w:rsidRPr="00D26960" w:rsidRDefault="00D26960" w:rsidP="00D269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6960">
              <w:rPr>
                <w:rFonts w:ascii="Arial" w:hAnsi="Arial" w:cs="Arial"/>
              </w:rPr>
              <w:t>Discern</w:t>
            </w:r>
          </w:p>
          <w:p w:rsidR="00D26960" w:rsidRPr="00D26960" w:rsidRDefault="00D26960" w:rsidP="00D269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6960">
              <w:rPr>
                <w:rFonts w:ascii="Arial" w:hAnsi="Arial" w:cs="Arial"/>
              </w:rPr>
              <w:t>Affirm</w:t>
            </w:r>
          </w:p>
        </w:tc>
        <w:tc>
          <w:tcPr>
            <w:tcW w:w="4405" w:type="dxa"/>
          </w:tcPr>
          <w:p w:rsidR="00D26960" w:rsidRPr="00D26960" w:rsidRDefault="00D26960" w:rsidP="00D26960">
            <w:pPr>
              <w:ind w:left="360"/>
              <w:rPr>
                <w:rFonts w:ascii="Arial" w:hAnsi="Arial" w:cs="Arial"/>
              </w:rPr>
            </w:pPr>
          </w:p>
        </w:tc>
      </w:tr>
      <w:tr w:rsidR="00D26960" w:rsidRPr="00D26960" w:rsidTr="00D26960">
        <w:trPr>
          <w:trHeight w:val="2088"/>
        </w:trPr>
        <w:tc>
          <w:tcPr>
            <w:tcW w:w="6782" w:type="dxa"/>
          </w:tcPr>
          <w:p w:rsidR="00D26960" w:rsidRPr="00D26960" w:rsidRDefault="00D26960" w:rsidP="0050521B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vAlign w:val="center"/>
          </w:tcPr>
          <w:p w:rsidR="00D26960" w:rsidRPr="00D26960" w:rsidRDefault="00D26960" w:rsidP="00D269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6960">
              <w:rPr>
                <w:rFonts w:ascii="Arial" w:hAnsi="Arial" w:cs="Arial"/>
              </w:rPr>
              <w:t>Planning</w:t>
            </w:r>
          </w:p>
          <w:p w:rsidR="00D26960" w:rsidRPr="00D26960" w:rsidRDefault="00D26960" w:rsidP="00D269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6960">
              <w:rPr>
                <w:rFonts w:ascii="Arial" w:hAnsi="Arial" w:cs="Arial"/>
              </w:rPr>
              <w:t>Preparing</w:t>
            </w:r>
          </w:p>
          <w:p w:rsidR="00D26960" w:rsidRPr="00D26960" w:rsidRDefault="00D26960" w:rsidP="00D269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6960">
              <w:rPr>
                <w:rFonts w:ascii="Arial" w:hAnsi="Arial" w:cs="Arial"/>
              </w:rPr>
              <w:t>Momentum Year</w:t>
            </w:r>
          </w:p>
          <w:p w:rsidR="00D26960" w:rsidRPr="00D26960" w:rsidRDefault="00D26960" w:rsidP="00D269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6960">
              <w:rPr>
                <w:rFonts w:ascii="Arial" w:hAnsi="Arial" w:cs="Arial"/>
              </w:rPr>
              <w:t>Full Momentum</w:t>
            </w:r>
          </w:p>
        </w:tc>
        <w:tc>
          <w:tcPr>
            <w:tcW w:w="3870" w:type="dxa"/>
            <w:vAlign w:val="center"/>
          </w:tcPr>
          <w:p w:rsidR="00D26960" w:rsidRPr="00D26960" w:rsidRDefault="00D26960" w:rsidP="00D269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6960">
              <w:rPr>
                <w:rFonts w:ascii="Arial" w:hAnsi="Arial" w:cs="Arial"/>
              </w:rPr>
              <w:t>Inform</w:t>
            </w:r>
          </w:p>
          <w:p w:rsidR="00D26960" w:rsidRPr="00D26960" w:rsidRDefault="00D26960" w:rsidP="00D269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6960">
              <w:rPr>
                <w:rFonts w:ascii="Arial" w:hAnsi="Arial" w:cs="Arial"/>
              </w:rPr>
              <w:t>Discern</w:t>
            </w:r>
          </w:p>
          <w:p w:rsidR="00D26960" w:rsidRPr="00D26960" w:rsidRDefault="00D26960" w:rsidP="00D269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6960">
              <w:rPr>
                <w:rFonts w:ascii="Arial" w:hAnsi="Arial" w:cs="Arial"/>
              </w:rPr>
              <w:t>Affirm</w:t>
            </w:r>
          </w:p>
        </w:tc>
        <w:tc>
          <w:tcPr>
            <w:tcW w:w="4405" w:type="dxa"/>
          </w:tcPr>
          <w:p w:rsidR="00D26960" w:rsidRPr="00D26960" w:rsidRDefault="00D26960" w:rsidP="00D26960">
            <w:pPr>
              <w:ind w:left="360"/>
              <w:rPr>
                <w:rFonts w:ascii="Arial" w:hAnsi="Arial" w:cs="Arial"/>
              </w:rPr>
            </w:pPr>
          </w:p>
        </w:tc>
      </w:tr>
      <w:tr w:rsidR="00D26960" w:rsidRPr="00D26960" w:rsidTr="00D26960">
        <w:trPr>
          <w:trHeight w:val="2088"/>
        </w:trPr>
        <w:tc>
          <w:tcPr>
            <w:tcW w:w="6782" w:type="dxa"/>
          </w:tcPr>
          <w:p w:rsidR="00D26960" w:rsidRPr="00D26960" w:rsidRDefault="00D26960" w:rsidP="00D26960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vAlign w:val="center"/>
          </w:tcPr>
          <w:p w:rsidR="00D26960" w:rsidRPr="00D26960" w:rsidRDefault="00D26960" w:rsidP="00D269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6960">
              <w:rPr>
                <w:rFonts w:ascii="Arial" w:hAnsi="Arial" w:cs="Arial"/>
              </w:rPr>
              <w:t>Planning</w:t>
            </w:r>
          </w:p>
          <w:p w:rsidR="00D26960" w:rsidRPr="00D26960" w:rsidRDefault="00D26960" w:rsidP="00D269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6960">
              <w:rPr>
                <w:rFonts w:ascii="Arial" w:hAnsi="Arial" w:cs="Arial"/>
              </w:rPr>
              <w:t>Preparing</w:t>
            </w:r>
          </w:p>
          <w:p w:rsidR="00D26960" w:rsidRPr="00D26960" w:rsidRDefault="00D26960" w:rsidP="00D269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6960">
              <w:rPr>
                <w:rFonts w:ascii="Arial" w:hAnsi="Arial" w:cs="Arial"/>
              </w:rPr>
              <w:t>Momentum Year</w:t>
            </w:r>
          </w:p>
          <w:p w:rsidR="00D26960" w:rsidRPr="00D26960" w:rsidRDefault="00D26960" w:rsidP="00D269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6960">
              <w:rPr>
                <w:rFonts w:ascii="Arial" w:hAnsi="Arial" w:cs="Arial"/>
              </w:rPr>
              <w:t>Full Momentum</w:t>
            </w:r>
          </w:p>
        </w:tc>
        <w:tc>
          <w:tcPr>
            <w:tcW w:w="3870" w:type="dxa"/>
            <w:vAlign w:val="center"/>
          </w:tcPr>
          <w:p w:rsidR="00D26960" w:rsidRPr="00D26960" w:rsidRDefault="00D26960" w:rsidP="00D269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6960">
              <w:rPr>
                <w:rFonts w:ascii="Arial" w:hAnsi="Arial" w:cs="Arial"/>
              </w:rPr>
              <w:t>Inform</w:t>
            </w:r>
          </w:p>
          <w:p w:rsidR="00D26960" w:rsidRPr="00D26960" w:rsidRDefault="00D26960" w:rsidP="00D269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6960">
              <w:rPr>
                <w:rFonts w:ascii="Arial" w:hAnsi="Arial" w:cs="Arial"/>
              </w:rPr>
              <w:t>Discern</w:t>
            </w:r>
          </w:p>
          <w:p w:rsidR="00D26960" w:rsidRPr="00D26960" w:rsidRDefault="00D26960" w:rsidP="00D269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6960">
              <w:rPr>
                <w:rFonts w:ascii="Arial" w:hAnsi="Arial" w:cs="Arial"/>
              </w:rPr>
              <w:t>Affirm</w:t>
            </w:r>
          </w:p>
        </w:tc>
        <w:tc>
          <w:tcPr>
            <w:tcW w:w="4405" w:type="dxa"/>
          </w:tcPr>
          <w:p w:rsidR="00D26960" w:rsidRPr="00D26960" w:rsidRDefault="00D26960" w:rsidP="00D26960">
            <w:pPr>
              <w:ind w:left="360"/>
              <w:rPr>
                <w:rFonts w:ascii="Arial" w:hAnsi="Arial" w:cs="Arial"/>
              </w:rPr>
            </w:pPr>
          </w:p>
        </w:tc>
      </w:tr>
      <w:tr w:rsidR="00D26960" w:rsidRPr="00D26960" w:rsidTr="00D26960">
        <w:trPr>
          <w:trHeight w:val="2088"/>
        </w:trPr>
        <w:tc>
          <w:tcPr>
            <w:tcW w:w="6782" w:type="dxa"/>
          </w:tcPr>
          <w:p w:rsidR="00D26960" w:rsidRPr="00D26960" w:rsidRDefault="00D26960" w:rsidP="00D26960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vAlign w:val="center"/>
          </w:tcPr>
          <w:p w:rsidR="00D26960" w:rsidRPr="00D26960" w:rsidRDefault="00D26960" w:rsidP="00D269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6960">
              <w:rPr>
                <w:rFonts w:ascii="Arial" w:hAnsi="Arial" w:cs="Arial"/>
              </w:rPr>
              <w:t>Planning</w:t>
            </w:r>
          </w:p>
          <w:p w:rsidR="00D26960" w:rsidRPr="00D26960" w:rsidRDefault="00D26960" w:rsidP="00D269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6960">
              <w:rPr>
                <w:rFonts w:ascii="Arial" w:hAnsi="Arial" w:cs="Arial"/>
              </w:rPr>
              <w:t>Preparing</w:t>
            </w:r>
          </w:p>
          <w:p w:rsidR="00D26960" w:rsidRPr="00D26960" w:rsidRDefault="00D26960" w:rsidP="00D269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6960">
              <w:rPr>
                <w:rFonts w:ascii="Arial" w:hAnsi="Arial" w:cs="Arial"/>
              </w:rPr>
              <w:t>Momentum Year</w:t>
            </w:r>
          </w:p>
          <w:p w:rsidR="00D26960" w:rsidRPr="00D26960" w:rsidRDefault="00D26960" w:rsidP="00D269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6960">
              <w:rPr>
                <w:rFonts w:ascii="Arial" w:hAnsi="Arial" w:cs="Arial"/>
              </w:rPr>
              <w:t>Full Momentum</w:t>
            </w:r>
          </w:p>
        </w:tc>
        <w:tc>
          <w:tcPr>
            <w:tcW w:w="3870" w:type="dxa"/>
            <w:vAlign w:val="center"/>
          </w:tcPr>
          <w:p w:rsidR="00D26960" w:rsidRPr="00D26960" w:rsidRDefault="00D26960" w:rsidP="00D269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6960">
              <w:rPr>
                <w:rFonts w:ascii="Arial" w:hAnsi="Arial" w:cs="Arial"/>
              </w:rPr>
              <w:t>Inform</w:t>
            </w:r>
          </w:p>
          <w:p w:rsidR="00D26960" w:rsidRPr="00D26960" w:rsidRDefault="00D26960" w:rsidP="00D269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6960">
              <w:rPr>
                <w:rFonts w:ascii="Arial" w:hAnsi="Arial" w:cs="Arial"/>
              </w:rPr>
              <w:t>Discern</w:t>
            </w:r>
          </w:p>
          <w:p w:rsidR="00D26960" w:rsidRPr="00D26960" w:rsidRDefault="00D26960" w:rsidP="00D269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6960">
              <w:rPr>
                <w:rFonts w:ascii="Arial" w:hAnsi="Arial" w:cs="Arial"/>
              </w:rPr>
              <w:t>Affirm</w:t>
            </w:r>
          </w:p>
        </w:tc>
        <w:tc>
          <w:tcPr>
            <w:tcW w:w="4405" w:type="dxa"/>
          </w:tcPr>
          <w:p w:rsidR="00D26960" w:rsidRPr="00D26960" w:rsidRDefault="00D26960" w:rsidP="00D26960">
            <w:pPr>
              <w:ind w:left="360"/>
              <w:rPr>
                <w:rFonts w:ascii="Arial" w:hAnsi="Arial" w:cs="Arial"/>
              </w:rPr>
            </w:pPr>
          </w:p>
        </w:tc>
      </w:tr>
    </w:tbl>
    <w:p w:rsidR="00D26960" w:rsidRPr="00D26960" w:rsidRDefault="00D26960" w:rsidP="00D26960">
      <w:pPr>
        <w:rPr>
          <w:rFonts w:ascii="Arial" w:hAnsi="Arial" w:cs="Arial"/>
        </w:rPr>
      </w:pPr>
    </w:p>
    <w:sectPr w:rsidR="00D26960" w:rsidRPr="00D26960" w:rsidSect="008B3C33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FB0"/>
    <w:multiLevelType w:val="hybridMultilevel"/>
    <w:tmpl w:val="9796F8A8"/>
    <w:lvl w:ilvl="0" w:tplc="804A22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0B"/>
    <w:rsid w:val="0049680A"/>
    <w:rsid w:val="005D0FAE"/>
    <w:rsid w:val="005F1A97"/>
    <w:rsid w:val="008B3C33"/>
    <w:rsid w:val="00B0702C"/>
    <w:rsid w:val="00C1720B"/>
    <w:rsid w:val="00D26960"/>
    <w:rsid w:val="00D40B55"/>
    <w:rsid w:val="00F1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7EB35"/>
  <w15:chartTrackingRefBased/>
  <w15:docId w15:val="{735103DC-657B-3C41-8455-B4149D1A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Watts Hull</dc:creator>
  <cp:keywords/>
  <dc:description/>
  <cp:lastModifiedBy>Jonathan Watts Hull</cp:lastModifiedBy>
  <cp:revision>1</cp:revision>
  <cp:lastPrinted>2019-10-02T20:06:00Z</cp:lastPrinted>
  <dcterms:created xsi:type="dcterms:W3CDTF">2019-10-02T18:54:00Z</dcterms:created>
  <dcterms:modified xsi:type="dcterms:W3CDTF">2019-10-02T20:14:00Z</dcterms:modified>
</cp:coreProperties>
</file>